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´Cegledi Arany´</text:h>
      <text:p text:style-name="Definition_20_Term_20_Tight">Název taxonu</text:p>
      <text:p text:style-name="Definition_20_Definition_20_Tight">Prunus armeniaca ´Cegledi Arany´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´Ceglédi arany´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´Ceglédi óriás´ x ´Rozsa barack´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polokulovitá, rozložitá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(40-45 g), žluté barvy, dužnina pevná, harmonické chuti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střední</text:p>
      <text:h text:style-name="Heading_20_4" text:outline-level="4">Nároky na stanoviště</text:h>
      <text:p text:style-name="Definition_20_Term_20_Tight">Faktor tepla</text:p>
      <text:p text:style-name="Definition_20_Definition_20_Tight">dobrá mrazuodolnost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velmi silně vzrůstná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NDdfMTkyX2dvZ29sa292YV9QcnVudXNfYXJtZW5pYWNhX0NlZ2xlZGlfYXJhbnlfX3Bsb2R5LmpwZyJdXQ?sha=d9e36214" office:name="">
          <text:span text:style-name="Definition">
            <draw:frame svg:width="270pt" svg:height="18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