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Akademická zahrada záhon 10</text:h>
      <text:p text:style-name="Definition_20_Term_20_Tight">Název taxonu</text:p>
      <text:p text:style-name="Definition_20_Definition_20_Tight">Akademická zahrada záhon 10</text:p>
      <text:p text:style-name="Definition_20_Term_20_Tight">Vědecký název taxonu</text:p>
      <text:p text:style-name="Definition_20_Definition_20_Tight">Akademická zahrada záhon 10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h text:style-name="Heading_20_4" text:outline-level="4">Popisné a identifikační znaky</text:h>
      <text:p text:style-name="Definition_20_Term_20_Tight">Habitus</text:p>
      <text:p text:style-name="Definition_20_Definition_20_Tight">edná se o každoročně obnovovaný, krátkodobý záhon květin, na kterém se střídají výsadby letniček s výsadbami dvouletek. Záhon je každým rokem realizovaný podle vybraného studentského projektu, vzniklého v rámci předmětu Použití rostlin. Cílem je zapojit studenty programu Zahradní a krajinářská architektura do procesu navrhování, projektování a realizace tohoto typu vegetačního prvku a umožnit jim získat praktických dovednosti a zkušenosti.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