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Tanacetum coccineum</text:h>
      <text:p text:style-name="Definition_20_Term_20_Tight">Název taxonu</text:p>
      <text:p text:style-name="Definition_20_Definition_20_Tight">Tanacetum coccineum</text:p>
      <text:p text:style-name="Definition_20_Term_20_Tight">Vědecký název taxonu</text:p>
      <text:p text:style-name="Definition_20_Definition_20_Tight">Tanacetum coccineum</text:p>
      <text:p text:style-name="Definition_20_Term_20_Tight">Jména autorů, kteří taxon popsali</text:p>
      <text:p text:style-name="Definition_20_Definition_20_Tight">
        <text:a xlink:type="simple" xlink:href="/taxon-authors/983" office:name="">
          <text:span text:style-name="Definition">(Willd.) Grierson</text:span>
        </text:a>
      </text:p>
      <text:p text:style-name="Definition_20_Term_20_Tight">Český název</text:p>
      <text:p text:style-name="Definition_20_Definition_20_Tight">řimbaba šarlatová, kopretina šarlatová</text:p>
      <text:p text:style-name="Definition_20_Term_20_Tight">Synonyma (zahradnicky používaný název)</text:p>
      <text:p text:style-name="Definition_20_Definition_20_Tight">Pyrethrum coccineum Tzvelev; Pyrethrum roseum Tzvelev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h text:style-name="Heading_20_4" text:outline-level="4">Zařazení</text:h>
      <text:p text:style-name="Definition_20_Term_20_Tight">Fytocenologický původ</text:p>
      <text:p text:style-name="Definition_20_Definition_20_Tight">kamenité vysokohorské louky a pastviny, mezi 1500–3000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vytrvala bylina dorůstající výšky 20–100 cm, typem a tvarem květenství připomínající domácí kopretinu. Od ní se liší výraznými barvami (převládají růžové a fialové) a zpeřeným listem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přímá až vystoupavá, po celé délce olistěná, příležitostně rozvětvená, většinou lysá</text:p>
      <text:p text:style-name="Definition_20_Term_20_Tight">Listy</text:p>
      <text:p text:style-name="Definition_20_Definition_20_Tight">jemně dělené, světle zelené, připomínající kapradiny, uspořádané v přízemní růžici a podél stonku</text:p>
      <text:p text:style-name="Definition_20_Term_20_Tight">Květenství</text:p>
      <text:p text:style-name="Definition_20_Definition_20_Tight">úbory v průměru 5–8 cm velké</text:p>
      <text:p text:style-name="Definition_20_Term_20_Tight">Květy</text:p>
      <text:p text:style-name="Definition_20_Definition_20_Tight">jazykovité květy v odstínech růžová, fialová, vzácně i bílý, žluté trubkovité květy v terči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krátkověká (potřeba každých 3–4 roky přesadit a rozdělit)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přiměřeně vlhká, ne extrémní sucho</text:p>
      <text:p text:style-name="Definition_20_Term_20_Tight">Faktor půdy</text:p>
      <text:p text:style-name="Definition_20_Definition_20_Tight">živné, zahradní,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</text:p>
      <text:p text:style-name="Definition_20_Definition_20_Tight">také k řezu a jako hrnková rostlina</text:p>
      <text:h text:style-name="Heading_20_4" text:outline-level="4">Množení</text:h>
      <text:p text:style-name="Definition_20_Term_20_Tight">Odrůdy</text:p>
      <text:p text:style-name="Definition_20_Definition_20_Tight">liší se především: a) barvou květu: Rů (‘Brenda’, ´Robinson´s Rosa´, ´Robinson´s Pink´, ‘Duro’, ‘Eileen May Robinson‘), F (‘Rosabella’), Č (´Robinson´s Red´, ‘James Kelway‘), B (‘Mont Blanc’, ‘Queen Alexandra’). b) stavbou květu: převládají s jednoduchým květem, několik málo s květem plným – např. ‘Alfred’ (Rů), ´Mont Blanc´ (B) c) výškou: nižší, kompaktního růstu do cca 60 cm (např. ‘Alfred’) vyšší, volného růstu – cca od 60–90 cm (např. série Robinson</text:p>
      <text:h text:style-name="Heading_20_4" text:outline-level="4">Grafické přílohy</text:h>
      <text:p text:style-name="First_20_paragraph">
        <text:a xlink:type="simple" xlink:href="http://taxonweb.cz/media/W1siZiIsIjIwMjUvMDYvMjYvMTFfNDlfMjlfNjA1X0lNR185NDExLkpQRyJdXQ?sha=dc5df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jUvMDYvMjYvMTFfNDlfMzBfOTMyX0lNR185NDEwLkpQRyJdXQ?sha=d4d80f3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taxonweb.cz/media/W1siZiIsIjIwMjUvMDYvMjYvMTFfNTFfNDBfNTg1X0lNR18xMDg0LkpQRyJdXQ?sha=2b0642e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jUvMDYvMjYvMTFfNDlfMzNfNzgzX0lNR185NDA5LkpQRyJdXQ?sha=d5304296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