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Štěrkový záhon</text:h>
      <text:p text:style-name="Definition_20_Term_20_Tight">Název taxonu</text:p>
      <text:p text:style-name="Definition_20_Definition_20_Tight">Štěrkový záhon</text:p>
      <text:p text:style-name="Definition_20_Term_20_Tight">Vědecký název taxonu</text:p>
      <text:p text:style-name="Definition_20_Definition_20_Tight">Štěrkový záhon</text:p>
      <text:p text:style-name="Definition_20_Term_20_Tight">Kategorie</text:p>
      <text:p text:style-name="Definition_20_Definition_20_Tight">
        <text:a xlink:type="simple" xlink:href="/ranks/22" office:name="">
          <text:span text:style-name="Definition">Rod</text:span>
        </text:a>
      </text:p>
      <text:h text:style-name="Heading_20_4" text:outline-level="4">Popisné a identifikační znaky</text:h>
      <text:p text:style-name="Definition_20_Term_20_Tight">Habitus</text:p>
      <text:p text:style-name="Definition_20_Definition_20_Tight">Ukázka použití nenáročných trvalek kobercového a polštářovitého typu, včetně cibulnatých rostlin vhodných pro extrémně slunné a suché stanoviště s vysokým podílem minerálního komponentu v substrátu (cca 2/3 z celkového podílu). Záhon byl založen výsadbou v r. 2003, je orientován k jihu a v průběhu roku není zavlažován. Průběžně je doplňován novými taxony, okrasné trávy jsou pravidelně přemnožovány, expanzivní trvalky jsou mírně omezovány. Použité taxony mohou být rovněž použity např. do dlažebních spár, suchých zídek, na extensivní střešní zahrady apod.</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