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Agrostis nebulosa</text:h>
      <text:p text:style-name="Definition_20_Term_20_Tight">Název taxonu</text:p>
      <text:p text:style-name="Definition_20_Definition_20_Tight">Agrostis nebulosa</text:p>
      <text:p text:style-name="Definition_20_Term_20_Tight">Vědecký název taxonu</text:p>
      <text:p text:style-name="Definition_20_Definition_20_Tight">Agrostis nebulosa</text:p>
      <text:p text:style-name="Definition_20_Term_20_Tight">Jména autorů, kteří taxon popsali</text:p>
      <text:p text:style-name="Definition_20_Definition_20_Tight">
        <text:a xlink:type="simple" xlink:href="/taxon-authors/138" office:name="">
          <text:span text:style-name="Definition">Boissier, Pierre Edmond Reuter,...</text:span>
        </text:a>
      </text:p>
      <text:p text:style-name="Definition_20_Term_20_Tight">Synonyma (zahradnicky používaný název)</text:p>
      <text:p text:style-name="Definition_20_Definition_20_Tight">Neoschischkinia nebulosa (Boiss. &amp; Reut.) Tzvelev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0" office:name="">
          <text:span text:style-name="Definition">Agrostis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Pěstitelská skupina - poznámka</text:p>
      <text:p text:style-name="Definition_20_Definition_20_Tight">v domovině se může chovat jako krátkověká trvalka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přímý výsev v dubnu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