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´Rouge de Sarnhac´</text:h>
      <text:p text:style-name="Definition_20_Term_20_Tight">Název taxonu</text:p>
      <text:p text:style-name="Definition_20_Definition_20_Tight">Prunus armeniaca ´Rouge de Sarnhac´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´Rouge de Sarnhac´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vzrůstná odrůda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velké, protáhlé, světle oranžové s líčkem, dužnina pevná, sladká, jádro hořké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středně raná, konec června až začátek července</text:p>
      <text:h text:style-name="Heading_20_4" text:outline-level="4">Užitné vlastnosti</text:h>
      <text:p text:style-name="Definition_20_Term_20_Tight">Choroby a škůdci</text:p>
      <text:p text:style-name="Definition_20_Definition_20_Tight">citlivá k monilii a šarce</text:p>
      <text:p text:style-name="Definition_20_Term_20_Tight">Plodnost</text:p>
      <text:p text:style-name="Definition_20_Definition_20_Tight">průměrná, nepravidelná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