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Brassica oleracea var. gemmifera</text:h>
      <text:p text:style-name="Definition_20_Term_20_Tight">Název taxonu</text:p>
      <text:p text:style-name="Definition_20_Definition_20_Tight">Brassica oleracea var. gemmifera</text:p>
      <text:p text:style-name="Definition_20_Term_20_Tight">Vědecký název taxonu</text:p>
      <text:p text:style-name="Definition_20_Definition_20_Tight">Brassica oleracea var. gemmifera</text:p>
      <text:p text:style-name="Definition_20_Term_20_Tight">Jména autorů, kteří taxon popsali</text:p>
      <text:p text:style-name="Definition_20_Definition_20_Tight">
        <text:a xlink:type="simple" xlink:href="/taxon-authors/751" office:name="">
          <text:span text:style-name="Definition">L., DC.</text:span>
        </text:a>
      </text:p>
      <text:p text:style-name="Definition_20_Term_20_Tight">Český název</text:p>
      <text:p text:style-name="Definition_20_Definition_20_Tight">kapusta růžičková</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Vnitrodruhové jednotky</text:p>
      <text:p text:style-name="Definition_20_Definition_20_Tight">convar. oleracea var. gemmifera</text:p>
      <text:p text:style-name="Definition_20_Term_20_Tight">Nadřazená kategorie</text:p>
      <text:p text:style-name="Definition_20_Definition_20_Tight">
        <text:a xlink:type="simple" xlink:href="/t/2118" office:name="">
          <text:span text:style-name="Definition">Brassica</text:span>
        </text:a>
      </text:p>
      <text:h text:style-name="Heading_20_4" text:outline-level="4">Biogeografické regiony</text:h>
      <text:p text:style-name="Definition_20_Term_20_Tight">Biogeografické regiony - poznámka</text:p>
      <text:p text:style-name="Definition_20_Definition_20_Tight">Belgie</text:p>
      <text:h text:style-name="Heading_20_4" text:outline-level="4">Zařazení</text:h>
      <text:p text:style-name="Definition_20_Term_20_Tight">Pěstitelská skupina</text:p>
      <text:p text:style-name="Definition_20_Definition_20_Tight">Dvouletka pravá a Košťálová zelenina</text:p>
      <text:p text:style-name="Definition_20_Term_20_Tight">Pěstitelská skupina - poznámka</text:p>
      <text:p text:style-name="Definition_20_Definition_20_Tight">na konzum pěstovaná jako jednoletá, na semeno jako dvouletá</text:p>
      <text:p text:style-name="Definition_20_Term_20_Tight">Zařazení podle původu, nároků na pěstování a použití - poznámka</text:p>
      <text:p text:style-name="Definition_20_Definition_20_Tight">pěstuje se pro laterální pupeny - růžičky v úžlabí listů</text:p>
      <text:h text:style-name="Heading_20_4" text:outline-level="4">Popisné a identifikační znaky</text:h>
      <text:p text:style-name="Definition_20_Term_20_Tight">Habitus</text:p>
      <text:p text:style-name="Definition_20_Definition_20_Tight">0,4 - 1 m vysoký stonek</text:p>
      <text:p text:style-name="Definition_20_Term_20_Tight">Kořen</text:p>
      <text:p text:style-name="Definition_20_Definition_20_Tight">dobře vyvinutý kořenový systém</text:p>
      <text:p text:style-name="Definition_20_Term_20_Tight">Pupeny</text:p>
      <text:p text:style-name="Definition_20_Definition_20_Tight">laterální pupeny v průměru 10 - 40 mm</text:p>
      <text:p text:style-name="Definition_20_Term_20_Tight">Listy</text:p>
      <text:p text:style-name="Definition_20_Definition_20_Tight">řapíkaté listy v genetické spirále, opak vejčité, celokrajné s bublinatým povrchem</text:p>
      <text:p text:style-name="Definition_20_Term_20_Tight">Květenství</text:p>
      <text:p text:style-name="Definition_20_Definition_20_Tight">latovité květenství</text:p>
      <text:p text:style-name="Definition_20_Term_20_Tight">Plody</text:p>
      <text:p text:style-name="Definition_20_Definition_20_Tight">šešule</text:p>
      <text:p text:style-name="Definition_20_Term_20_Tight">Semena</text:p>
      <text:p text:style-name="Definition_20_Definition_20_Tight">HTS 3 - 4 g</text:p>
      <text:p text:style-name="Definition_20_Term_20_Tight">Vytrvalost</text:p>
      <text:p text:style-name="Definition_20_Definition_20_Tight">dvouletý</text:p>
      <text:h text:style-name="Heading_20_4" text:outline-level="4">Nároky na stanoviště</text:h>
      <text:p text:style-name="Definition_20_Term_20_Tight">Faktor světla - slunce</text:p>
      <text:p text:style-name="Definition_20_Definition_20_Tight">✓</text:p>
      <text:p text:style-name="Definition_20_Term_20_Tight">Faktor vody</text:p>
      <text:p text:style-name="Definition_20_Definition_20_Tight">vyšší půdní a vzdušná vlhkost</text:p>
      <text:p text:style-name="Definition_20_Term_20_Tight">Faktor půdy</text:p>
      <text:p text:style-name="Definition_20_Definition_20_Tight">řepařské a bramborářské výrobní oblasti, pH 6,2 - 7,5</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nekrózy vnitřních listů hlávek, okrajové nekrózy (spály) listů,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0,6 x 0,6 m, u vysokých odrůd 0,5 - 0,7 x 0,7 m</text:p>
      <text:h text:style-name="Heading_20_4" text:outline-level="4">Množení</text:h>
      <text:p text:style-name="Definition_20_Term_20_Tight">Množení</text:p>
      <text:p text:style-name="Definition_20_Definition_20_Tight">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