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Ariana</text:h>
      <text:p text:style-name="Definition_20_Term_20_Tight">Název taxonu</text:p>
      <text:p text:style-name="Definition_20_Definition_20_Tight">Vitis vinifera Ariana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´Ariana´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 - 9/19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(´Ryzlink rýnský´ x ´Svatovavřinecké´) x ´Zweigeltrebe´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bez znatelných výkrojů, bazální výkroj je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hustý;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a rosé</text:p>
      <text:p text:style-name="Definition_20_Term_20_Tight">Choroby a škůdci</text:p>
      <text:p text:style-name="Definition_20_Definition_20_Tight">střední až nízká odolnost k houbovým chorobám, zvláště citlivá je na plíseň šedou, láká obaleče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odrůdové chuti ovocného charakteru, s jemným obsahem tříslovin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ZfNDZfNTcxX1NvdG9sYXJfVml0aXNfdmluaWZlcmFfYXJpYW5hX2hyb3plbi5qcGciXV0?sha=e50c1ae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ZfNDZfODY0X1NvdG9sYXJfVml0aXNfdmluaWZlcmFfYXJpYW5hX2xpc3QuanBnIl1d?sha=01c3644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