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´Harlayne´</text:h>
      <text:p text:style-name="Definition_20_Term_20_Tight">Název taxonu</text:p>
      <text:p text:style-name="Definition_20_Definition_20_Tight">Prunus armeniaca ´Harlayne´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´Harlayne´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Harrow</text:p>
      <text:h text:style-name="Heading_20_4" text:outline-level="4">Zařazení</text:h>
      <text:p text:style-name="Definition_20_Term_20_Tight">Fytocenologický původ</text:p>
      <text:p text:style-name="Definition_20_Definition_20_Tight">kříženec hybridu ´V51092´ a odrůdy ´Sun glo´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</text:p>
      <text:p text:style-name="Definition_20_Term_20_Tight">Květy</text:p>
      <text:p text:style-name="Definition_20_Definition_20_Tight">bílé, menší jak VP, okrouhlé, blizna v úrovni prašníků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středně velké (33 g), většinou souměrné, oranžové s mírným červeným líčkem, sladce navinulé, šťavnaté, aromatické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pozdní (9 dnů po VP)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nízkým teplotám ve dřevě i v květu, vhodné všechny oblasti</text:p>
      <text:p text:style-name="Definition_20_Term_20_Tight">Faktor vody</text:p>
      <text:p text:style-name="Definition_20_Definition_20_Tight">vyžaduje dostatek vláhy</text:p>
      <text:h text:style-name="Heading_20_4" text:outline-level="4">Užitné vlastnosti</text:h>
      <text:p text:style-name="Definition_20_Term_20_Tight">Použití</text:p>
      <text:p text:style-name="Definition_20_Definition_20_Tight">konzervárenství, přímý konzum</text:p>
      <text:p text:style-name="Definition_20_Term_20_Tight">Choroby a škůdci</text:p>
      <text:p text:style-name="Definition_20_Definition_20_Tight">odolnost proti houbovým a bakteriálním infekcím, rezistentní vůči Plum pox virus</text:p>
      <text:p text:style-name="Definition_20_Term_20_Tight">Růstové i jiné druhově specifické vlastnosti</text:p>
      <text:p text:style-name="Definition_20_Definition_20_Tight">středně vzrůstná</text:p>
      <text:p text:style-name="Definition_20_Term_20_Tight">Plodnost</text:p>
      <text:p text:style-name="Definition_20_Definition_20_Tight">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TNfMThfZ29nb2xrb3ZhX1BydW51c19hcm1lbmlhY2FfSGFybGF5bmVfX3Bsb2R5LmpwZyJdXQ?sha=12ee3857" office:name="">
          <text:span text:style-name="Definition">
            <draw:frame svg:width="239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