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Akademická zahrada záhon 1</text:h>
      <text:p text:style-name="Definition_20_Term_20_Tight">Název taxonu</text:p>
      <text:p text:style-name="Definition_20_Definition_20_Tight">Akademická zahrada záhon 1</text:p>
      <text:p text:style-name="Definition_20_Term_20_Tight">Vědecký název taxonu</text:p>
      <text:p text:style-name="Definition_20_Definition_20_Tight">Akademická zahrada záhon 1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h text:style-name="Heading_20_4" text:outline-level="4">Popisné a identifikační znaky</text:h>
      <text:p text:style-name="Definition_20_Term_20_Tight">Habitus</text:p>
      <text:p text:style-name="Definition_20_Definition_20_Tight">Cílem bylo vytvořit pokryvnou výsadbu trvalek, které se potkají v květu a jsou kontrastní ve své barevnosti a struktuře (Alchemilla molils ´Auslese´ a Stachys macrantha ´Superba´ doplněnou o vertikálně působící cibuloviny na jaře (Allium aflatunense ´Purple Sensation´ a Tulipa ´White Triumphator´). Plocha záhonu je příčně přerušena lalokem vytrvalých trav (Panicum virgatum ´Shenandoah´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