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Heroldrebe</text:h>
      <text:p text:style-name="Definition_20_Term_20_Tight">Název taxonu</text:p>
      <text:p text:style-name="Definition_20_Definition_20_Tight">Vitis vinifera Heroldrebe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´Heroldrebe´ (He)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We S-130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křížením odrůd ´Modrý Portugal´ a ´Frankovka´</text:p>
      <text:h text:style-name="Heading_20_4" text:outline-level="4">Zařazení</text:h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bujný růst</text:p>
      <text:p text:style-name="Definition_20_Term_20_Tight">Výhony</text:p>
      <text:p text:style-name="Definition_20_Definition_20_Tight">jednoleté réví je středně silné, tmavohnědé,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 až velké, pětilaločnaté, bazální výkroj je lyrovitý, většinou otevřený; povrch mírně vrásčitý, vespod jemně plstnatý na žilnatinách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středně velký, kuželovitý, křídlatý, hustý; bobule je středně velká, kulatá, modročerná</text:p>
      <text:p text:style-name="Definition_20_Term_20_Tight">Semena</text:p>
      <text:p text:style-name="Definition_20_Definition_20_Tight">středně velká, hruškovitá,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vhodné jsou i lehčí vápenité půdy</text:p>
      <text:p text:style-name="Definition_20_Term_20_Tight">Faktor půdy</text:p>
      <text:p text:style-name="Definition_20_Definition_20_Tight">úrodnější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vysoké i střední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zejména CR 2 či Kober 125 AA, do úrodnějších půd i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střední odolnost k houbovým chorobám, napadána obaleči</text:p>
      <text:p text:style-name="Definition_20_Term_20_Tight">Plodnost</text:p>
      <text:p text:style-name="Definition_20_Definition_20_Tight">středně pozdní až pozdní, pravidelná (výnos 8-14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tříslovité, tmavě červené se svěží ovocnou vůní a plnou chutí připomínající třešně, višně či švestky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99)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TlfNDlfMzczX1NvdG9sYXJfVml0aXNfdmluaWZlcmFfaGVyb2xkcmViZV9saXN0LkpQRyJdXQ?sha=1a2d30a8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TlfNDlfNzE1X1NvdG9sYXJfVml0aXNfdmluaWZlcmFfaGVyb2xkcmViZV9ocm96ZW4uSlBHIl1d?sha=c13774ae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