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Petunia × hybrida grandiflora nana</text:h>
      <text:p text:style-name="Definition_20_Term_20_Tight">Název taxonu</text:p>
      <text:p text:style-name="Definition_20_Definition_20_Tight">Petunia × hybrida grandiflora nana</text:p>
      <text:p text:style-name="Definition_20_Term_20_Tight">Vědecký název taxonu</text:p>
      <text:p text:style-name="Definition_20_Definition_20_Tight">Petunia × hybrida</text:p>
      <text:p text:style-name="Definition_20_Term_20_Tight">Jména autorů, kteří taxon popsali</text:p>
      <text:p text:style-name="Definition_20_Definition_20_Tight">
        <text:a xlink:type="simple" xlink:href="/taxon-authors/581" office:name="">
          <text:span text:style-name="Definition">horticultural usage Vilmorin, Elisa de</text:span>
        </text:a>
      </text:p>
      <text:p text:style-name="Definition_20_Term_20_Tight">Odrůda</text:p>
      <text:p text:style-name="Definition_20_Definition_20_Tight">skupina odrůd - grandiflora nana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